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56BAC" w14:textId="179688FD" w:rsidR="00005655" w:rsidRDefault="00005655" w:rsidP="00005655">
      <w:pPr>
        <w:pStyle w:val="3GPPHeader"/>
        <w:rPr>
          <w:lang w:val="en-US"/>
        </w:rPr>
      </w:pPr>
      <w:r>
        <w:rPr>
          <w:lang w:val="en-US"/>
        </w:rPr>
        <w:t>3GPP TSG-RAN WG4 Meeting #116</w:t>
      </w:r>
      <w:r w:rsidR="00743A2E">
        <w:rPr>
          <w:lang w:val="en-US"/>
        </w:rPr>
        <w:t>-bis</w:t>
      </w:r>
      <w:r>
        <w:rPr>
          <w:lang w:val="en-US"/>
        </w:rPr>
        <w:tab/>
        <w:t>R4-</w:t>
      </w:r>
      <w:r w:rsidR="0070175A" w:rsidRPr="0070175A">
        <w:rPr>
          <w:lang w:val="en-US"/>
        </w:rPr>
        <w:t>2514401</w:t>
      </w:r>
    </w:p>
    <w:p w14:paraId="65D058A9" w14:textId="723C719E" w:rsidR="00005655" w:rsidRDefault="00743A2E" w:rsidP="00005655">
      <w:pPr>
        <w:pStyle w:val="3GPPHeader"/>
        <w:rPr>
          <w:lang w:val="en-US"/>
        </w:rPr>
      </w:pPr>
      <w:r w:rsidRPr="00743A2E">
        <w:rPr>
          <w:lang w:val="en-US"/>
        </w:rPr>
        <w:t>Prague, CZ</w:t>
      </w:r>
      <w:r w:rsidR="00005655">
        <w:rPr>
          <w:lang w:val="en-US"/>
        </w:rPr>
        <w:t xml:space="preserve">, </w:t>
      </w:r>
      <w:r>
        <w:rPr>
          <w:lang w:val="en-US"/>
        </w:rPr>
        <w:t>October</w:t>
      </w:r>
      <w:r w:rsidR="00005655">
        <w:rPr>
          <w:lang w:val="en-US"/>
        </w:rPr>
        <w:t xml:space="preserve"> </w:t>
      </w:r>
      <w:r>
        <w:rPr>
          <w:lang w:val="en-US"/>
        </w:rPr>
        <w:t>13</w:t>
      </w:r>
      <w:r w:rsidR="00005655">
        <w:rPr>
          <w:lang w:val="en-US"/>
        </w:rPr>
        <w:t xml:space="preserve"> – </w:t>
      </w:r>
      <w:r>
        <w:rPr>
          <w:lang w:val="en-US"/>
        </w:rPr>
        <w:t>17</w:t>
      </w:r>
      <w:r w:rsidR="00005655">
        <w:rPr>
          <w:lang w:val="en-US"/>
        </w:rPr>
        <w:t>, 2025</w:t>
      </w:r>
    </w:p>
    <w:p w14:paraId="0A70830B" w14:textId="206474D0" w:rsidR="0073530F" w:rsidRDefault="0073530F" w:rsidP="0073530F">
      <w:pPr>
        <w:pStyle w:val="3GPPHeader"/>
      </w:pPr>
      <w:r>
        <w:t>Agenda Item:</w:t>
      </w:r>
      <w:r>
        <w:tab/>
      </w:r>
      <w:r w:rsidR="00743A2E" w:rsidRPr="00743A2E">
        <w:t>4.15.1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07440E3B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="00906591">
        <w:tab/>
      </w:r>
      <w:r w:rsidR="007058A5" w:rsidRPr="007058A5">
        <w:t xml:space="preserve">Discussion on </w:t>
      </w:r>
      <w:r w:rsidR="00D55F7B">
        <w:t xml:space="preserve">core part </w:t>
      </w:r>
      <w:r w:rsidR="00F36E46">
        <w:t>for</w:t>
      </w:r>
      <w:r w:rsidR="00D55F7B">
        <w:t xml:space="preserve"> </w:t>
      </w:r>
      <w:r w:rsidR="007058A5" w:rsidRPr="007058A5">
        <w:t>FR2-1 SSB based L3 measurement delay reduction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12E81A77" w14:textId="35946C91" w:rsidR="00D55F7B" w:rsidRDefault="00D55F7B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 xml:space="preserve">In the last meeting RAN4 has closed the core part for R19 RRM phase 5 WI. In this paper we discuss the remaining issues in the maintenance for both part 1 (i.e., </w:t>
      </w:r>
      <w:r>
        <w:rPr>
          <w:rFonts w:ascii="Calibri" w:hAnsi="Calibri" w:cs="Calibri"/>
        </w:rPr>
        <w:t>optimizing CSSF</w:t>
      </w:r>
      <w:r>
        <w:rPr>
          <w:lang w:val="en-US"/>
        </w:rPr>
        <w:t xml:space="preserve">) and part 2 (I.e., </w:t>
      </w:r>
      <w:r w:rsidRPr="00D55F7B">
        <w:rPr>
          <w:lang w:val="en-US"/>
        </w:rPr>
        <w:t xml:space="preserve">optimizing Rx </w:t>
      </w:r>
      <w:r>
        <w:rPr>
          <w:lang w:val="en-US"/>
        </w:rPr>
        <w:t xml:space="preserve">BSF) based on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_Ref210140888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1781D2B1" w14:textId="18F600CC" w:rsidR="00F007AB" w:rsidRDefault="00D55F7B" w:rsidP="004F0AE8">
      <w:pPr>
        <w:jc w:val="both"/>
        <w:rPr>
          <w:lang w:val="en-US"/>
        </w:rPr>
      </w:pPr>
      <w:r>
        <w:rPr>
          <w:lang w:val="en-US"/>
        </w:rPr>
        <w:t>For part 1 (</w:t>
      </w:r>
      <w:r>
        <w:rPr>
          <w:rFonts w:ascii="Calibri" w:hAnsi="Calibri" w:cs="Calibri"/>
        </w:rPr>
        <w:t>optimizing CSSF</w:t>
      </w:r>
      <w:r>
        <w:rPr>
          <w:lang w:val="en-US"/>
        </w:rPr>
        <w:t xml:space="preserve">), RAN4 made the following agreement as captured in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07AB" w14:paraId="67771E75" w14:textId="77777777" w:rsidTr="00F007AB">
        <w:tc>
          <w:tcPr>
            <w:tcW w:w="9629" w:type="dxa"/>
          </w:tcPr>
          <w:p w14:paraId="0BB0D2CB" w14:textId="77777777" w:rsidR="00D55F7B" w:rsidRDefault="00D55F7B" w:rsidP="00D55F7B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1-2-1: applicability limitation for solution 3</w:t>
            </w:r>
          </w:p>
          <w:p w14:paraId="49E78278" w14:textId="77777777" w:rsidR="00D55F7B" w:rsidRPr="00D55F7B" w:rsidRDefault="00D55F7B" w:rsidP="00D55F7B">
            <w:pPr>
              <w:rPr>
                <w:iCs/>
              </w:rPr>
            </w:pPr>
            <w:r w:rsidRPr="00D55F7B">
              <w:rPr>
                <w:iCs/>
                <w:highlight w:val="green"/>
              </w:rPr>
              <w:t>Agreement</w:t>
            </w:r>
            <w:r w:rsidRPr="00D55F7B">
              <w:rPr>
                <w:iCs/>
              </w:rPr>
              <w:t>:</w:t>
            </w:r>
          </w:p>
          <w:p w14:paraId="7A7CB22C" w14:textId="627D8C4D" w:rsidR="00D55F7B" w:rsidRPr="00D55F7B" w:rsidRDefault="00D55F7B" w:rsidP="00D55F7B">
            <w:pPr>
              <w:rPr>
                <w:rFonts w:eastAsia="DengXian"/>
              </w:rPr>
            </w:pPr>
            <w:r w:rsidRPr="00D55F7B">
              <w:rPr>
                <w:rFonts w:eastAsia="DengXian"/>
              </w:rPr>
              <w:t>For UE supporting [new 3-searcher capability] the Enhanced CSSF</w:t>
            </w:r>
            <w:r w:rsidRPr="00D55F7B">
              <w:rPr>
                <w:rFonts w:eastAsia="DengXian"/>
                <w:vertAlign w:val="subscript"/>
              </w:rPr>
              <w:t>outside_gap,i</w:t>
            </w:r>
            <w:r w:rsidRPr="00D55F7B">
              <w:rPr>
                <w:rFonts w:eastAsia="DengXian"/>
              </w:rPr>
              <w:t xml:space="preserve"> scaling factor does not apply for the E-UTRA inter-RAT MOs without MG (for the scenario of NR SA) that are being measured outside of MG.</w:t>
            </w:r>
          </w:p>
          <w:p w14:paraId="0EAB94C6" w14:textId="2BB81F8B" w:rsidR="00F007AB" w:rsidRPr="00D55F7B" w:rsidRDefault="00D55F7B" w:rsidP="00D55F7B">
            <w:pPr>
              <w:rPr>
                <w:rFonts w:eastAsia="Times New Roman"/>
                <w:i/>
                <w:color w:val="0070C0"/>
              </w:rPr>
            </w:pPr>
            <w:r w:rsidRPr="00D55F7B">
              <w:rPr>
                <w:rFonts w:eastAsia="DengXian"/>
                <w:highlight w:val="yellow"/>
              </w:rPr>
              <w:t>FFS</w:t>
            </w:r>
            <w:r w:rsidRPr="00D55F7B">
              <w:rPr>
                <w:rFonts w:eastAsia="DengXian"/>
              </w:rPr>
              <w:t>: For UE supporting [new 3-searcher capability], whether or not the Enhanced CSSF</w:t>
            </w:r>
            <w:r w:rsidRPr="00D55F7B">
              <w:rPr>
                <w:rFonts w:eastAsia="DengXian"/>
                <w:vertAlign w:val="subscript"/>
              </w:rPr>
              <w:t>outside_gap,i</w:t>
            </w:r>
            <w:r w:rsidRPr="00D55F7B">
              <w:rPr>
                <w:rFonts w:eastAsia="DengXian"/>
              </w:rPr>
              <w:t xml:space="preserve"> scaling factor applies for the inter-frequency MOs without MG that are being measured outside of MG. This part can be discussed in maintenance stage.</w:t>
            </w:r>
          </w:p>
        </w:tc>
      </w:tr>
    </w:tbl>
    <w:p w14:paraId="453FE1D2" w14:textId="77777777" w:rsidR="00F007AB" w:rsidRDefault="00F007AB" w:rsidP="004F0AE8">
      <w:pPr>
        <w:jc w:val="both"/>
        <w:rPr>
          <w:lang w:val="en-US"/>
        </w:rPr>
      </w:pPr>
    </w:p>
    <w:p w14:paraId="20A2ADC2" w14:textId="4EF25F99" w:rsidR="00D55F7B" w:rsidRDefault="001B36B2" w:rsidP="004F0AE8">
      <w:pPr>
        <w:jc w:val="both"/>
        <w:rPr>
          <w:lang w:val="en-US"/>
        </w:rPr>
      </w:pPr>
      <w:r>
        <w:rPr>
          <w:lang w:val="en-US"/>
        </w:rPr>
        <w:t>For Issue 1-</w:t>
      </w:r>
      <w:r w:rsidR="00D55F7B">
        <w:rPr>
          <w:lang w:val="en-US"/>
        </w:rPr>
        <w:t>2</w:t>
      </w:r>
      <w:r>
        <w:rPr>
          <w:lang w:val="en-US"/>
        </w:rPr>
        <w:t>-</w:t>
      </w:r>
      <w:r w:rsidR="00D55F7B">
        <w:rPr>
          <w:lang w:val="en-US"/>
        </w:rPr>
        <w:t>1</w:t>
      </w:r>
      <w:r>
        <w:rPr>
          <w:lang w:val="en-US"/>
        </w:rPr>
        <w:t xml:space="preserve">, </w:t>
      </w:r>
      <w:r w:rsidR="00D55F7B">
        <w:rPr>
          <w:lang w:val="en-US"/>
        </w:rPr>
        <w:t>RAN4 agreed to exclude enhancing CSSF based on 3 searchers for Inter-RAT measurement without MG scenario. However, some companies also proposed to exclude this enhancement for inter-frequency measurement without MG scenario as in the FFS above. In our understanding, the use of the searcher for inter-frequency w/o MG and intra-frequency w/o MG is not different (unlike the searcher for inter-RAT). However, we are open to discuss if any issue is identified for using the 3 searchers for inter-frequency w/o MG scenario.</w:t>
      </w:r>
    </w:p>
    <w:p w14:paraId="19C94D3E" w14:textId="1EF92276" w:rsidR="001B36B2" w:rsidRPr="00F64625" w:rsidRDefault="001B36B2" w:rsidP="004F0AE8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AE58CC">
        <w:rPr>
          <w:b/>
          <w:bCs/>
        </w:rPr>
        <w:t>D</w:t>
      </w:r>
      <w:r w:rsidR="00D55F7B">
        <w:rPr>
          <w:b/>
          <w:bCs/>
        </w:rPr>
        <w:t xml:space="preserve">iscuss whether </w:t>
      </w:r>
      <w:r w:rsidR="00D55F7B" w:rsidRPr="00D55F7B">
        <w:rPr>
          <w:b/>
          <w:bCs/>
        </w:rPr>
        <w:t xml:space="preserve">to exclude </w:t>
      </w:r>
      <w:r w:rsidR="00D55F7B">
        <w:rPr>
          <w:b/>
          <w:bCs/>
        </w:rPr>
        <w:t>the 3-searcher</w:t>
      </w:r>
      <w:r w:rsidR="00D55F7B" w:rsidRPr="00D55F7B">
        <w:rPr>
          <w:b/>
          <w:bCs/>
        </w:rPr>
        <w:t xml:space="preserve"> enhancement for inter-frequency measurement without MG scenario</w:t>
      </w:r>
      <w:r w:rsidRPr="001B36B2">
        <w:rPr>
          <w:b/>
          <w:bCs/>
        </w:rPr>
        <w:t>.</w:t>
      </w:r>
    </w:p>
    <w:p w14:paraId="09D8EBD2" w14:textId="77777777" w:rsidR="001B36B2" w:rsidRDefault="001B36B2" w:rsidP="004F0AE8">
      <w:pPr>
        <w:jc w:val="both"/>
        <w:rPr>
          <w:lang w:val="en-US"/>
        </w:rPr>
      </w:pPr>
    </w:p>
    <w:p w14:paraId="189B68A8" w14:textId="5B3DF66D" w:rsidR="00AE58CC" w:rsidRDefault="00AE58CC" w:rsidP="004F0AE8">
      <w:pPr>
        <w:jc w:val="both"/>
        <w:rPr>
          <w:lang w:val="en-US"/>
        </w:rPr>
      </w:pPr>
      <w:r>
        <w:rPr>
          <w:lang w:val="en-US"/>
        </w:rPr>
        <w:t xml:space="preserve">For part 2 (I.e., optimizing Rx BSF), RAN4 also discussed the following issue as captured in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\r \h </w:instrText>
      </w:r>
      <w:r>
        <w:rPr>
          <w:lang w:val="en-US"/>
        </w:rPr>
      </w:r>
      <w:r w:rsidR="00000000"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_Ref210140888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0C778E25" w14:textId="77777777" w:rsidR="00AE58CC" w:rsidRDefault="00AE58CC" w:rsidP="004F0AE8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58CC" w14:paraId="28568F61" w14:textId="77777777" w:rsidTr="00AE58CC">
        <w:tc>
          <w:tcPr>
            <w:tcW w:w="9629" w:type="dxa"/>
          </w:tcPr>
          <w:p w14:paraId="25357949" w14:textId="77777777" w:rsidR="00AE58CC" w:rsidRDefault="00AE58CC" w:rsidP="00AE58CC">
            <w:pPr>
              <w:pStyle w:val="Heading3"/>
              <w:rPr>
                <w:rFonts w:eastAsiaTheme="minorEastAsia"/>
                <w:sz w:val="21"/>
                <w:u w:val="single"/>
                <w:lang w:val="en-US"/>
              </w:rPr>
            </w:pPr>
            <w:r>
              <w:rPr>
                <w:rFonts w:eastAsiaTheme="minorEastAsia"/>
                <w:sz w:val="21"/>
                <w:u w:val="single"/>
                <w:lang w:val="en-US"/>
              </w:rPr>
              <w:lastRenderedPageBreak/>
              <w:t>Issue 1-1-5: Revision of the agreement on applicability requirement</w:t>
            </w:r>
          </w:p>
          <w:p w14:paraId="0F7AAF1A" w14:textId="77777777" w:rsidR="00AE58CC" w:rsidRDefault="00AE58CC" w:rsidP="00AE58CC">
            <w:pPr>
              <w:rPr>
                <w:rFonts w:cstheme="minorHAnsi"/>
                <w:sz w:val="20"/>
                <w:highlight w:val="green"/>
              </w:rPr>
            </w:pPr>
            <w:r>
              <w:rPr>
                <w:rFonts w:cstheme="minorHAnsi"/>
                <w:highlight w:val="green"/>
              </w:rPr>
              <w:t>Agreement in Tuesday ad-hoc:</w:t>
            </w:r>
          </w:p>
          <w:p w14:paraId="709C3A28" w14:textId="77777777" w:rsidR="00AE58CC" w:rsidRDefault="00AE58CC" w:rsidP="00AE58CC">
            <w:pPr>
              <w:pStyle w:val="ListParagraph"/>
              <w:widowControl w:val="0"/>
              <w:numPr>
                <w:ilvl w:val="0"/>
                <w:numId w:val="65"/>
              </w:numPr>
              <w:autoSpaceDN w:val="0"/>
              <w:spacing w:afterLines="50" w:after="120" w:line="240" w:lineRule="auto"/>
              <w:ind w:left="462" w:hangingChars="210" w:hanging="462"/>
              <w:jc w:val="both"/>
              <w:rPr>
                <w:rFonts w:eastAsia="Times New Roman" w:cs="Times New Roman"/>
              </w:rPr>
            </w:pPr>
            <w:r>
              <w:rPr>
                <w:iCs/>
              </w:rPr>
              <w:t xml:space="preserve">The FBS enhancement applies for the case when the </w:t>
            </w:r>
            <w:r>
              <w:t>target and serving carrier frequency are same.</w:t>
            </w:r>
          </w:p>
          <w:p w14:paraId="346FF5D6" w14:textId="77777777" w:rsidR="00AE58CC" w:rsidRDefault="00AE58CC" w:rsidP="00AE58CC">
            <w:pPr>
              <w:pStyle w:val="ListParagraph"/>
              <w:widowControl w:val="0"/>
              <w:numPr>
                <w:ilvl w:val="0"/>
                <w:numId w:val="65"/>
              </w:numPr>
              <w:autoSpaceDN w:val="0"/>
              <w:spacing w:afterLines="50" w:after="120" w:line="240" w:lineRule="auto"/>
              <w:ind w:left="462" w:hangingChars="210" w:hanging="462"/>
              <w:jc w:val="both"/>
            </w:pPr>
            <w:r>
              <w:t xml:space="preserve">FFS in maintenance which CC to apply the FBS when </w:t>
            </w:r>
            <w:r>
              <w:rPr>
                <w:iCs/>
              </w:rPr>
              <w:t xml:space="preserve">the </w:t>
            </w:r>
            <w:r>
              <w:t>target and serving carrier frequency are on different.</w:t>
            </w:r>
          </w:p>
          <w:p w14:paraId="4636DC66" w14:textId="77777777" w:rsidR="00AE58CC" w:rsidRDefault="00AE58CC" w:rsidP="00AE58CC">
            <w:pPr>
              <w:spacing w:after="120"/>
              <w:rPr>
                <w:rFonts w:cstheme="minorHAnsi"/>
                <w:highlight w:val="green"/>
              </w:rPr>
            </w:pPr>
            <w:r>
              <w:rPr>
                <w:rFonts w:cstheme="minorHAnsi"/>
                <w:highlight w:val="green"/>
              </w:rPr>
              <w:t>Agreement in Thursday online:</w:t>
            </w:r>
          </w:p>
          <w:p w14:paraId="41B1FDBC" w14:textId="77777777" w:rsidR="00AE58CC" w:rsidRDefault="00AE58CC" w:rsidP="00AE58C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When the target and serving carrier frequency are different,</w:t>
            </w:r>
          </w:p>
          <w:p w14:paraId="645FF67A" w14:textId="77777777" w:rsidR="00AE58CC" w:rsidRDefault="00AE58CC" w:rsidP="00AE58CC">
            <w:pPr>
              <w:pStyle w:val="ListParagraph"/>
              <w:widowControl w:val="0"/>
              <w:numPr>
                <w:ilvl w:val="0"/>
                <w:numId w:val="65"/>
              </w:numPr>
              <w:autoSpaceDN w:val="0"/>
              <w:spacing w:afterLines="50" w:after="120" w:line="240" w:lineRule="auto"/>
              <w:ind w:left="462" w:hangingChars="210" w:hanging="46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FBS requirement does not apply to inter-frequency measurement without measurement gap.</w:t>
            </w:r>
          </w:p>
          <w:p w14:paraId="507F96B6" w14:textId="77777777" w:rsidR="00AE58CC" w:rsidRDefault="00AE58CC" w:rsidP="00AE58CC">
            <w:pPr>
              <w:pStyle w:val="ListParagraph"/>
              <w:widowControl w:val="0"/>
              <w:numPr>
                <w:ilvl w:val="0"/>
                <w:numId w:val="65"/>
              </w:numPr>
              <w:autoSpaceDN w:val="0"/>
              <w:spacing w:afterLines="50" w:after="120" w:line="240" w:lineRule="auto"/>
              <w:ind w:left="462" w:hangingChars="210" w:hanging="462"/>
              <w:jc w:val="both"/>
              <w:rPr>
                <w:rFonts w:cstheme="minorHAnsi"/>
              </w:rPr>
            </w:pPr>
            <w:r w:rsidRPr="00AE58CC">
              <w:rPr>
                <w:rFonts w:cstheme="minorHAnsi"/>
                <w:highlight w:val="yellow"/>
              </w:rPr>
              <w:t>FFS</w:t>
            </w:r>
            <w:r>
              <w:rPr>
                <w:rFonts w:cstheme="minorHAnsi"/>
              </w:rPr>
              <w:t xml:space="preserve"> inter-frequency measurement with per-FR measurement gap.</w:t>
            </w:r>
          </w:p>
          <w:p w14:paraId="178A1BBB" w14:textId="3288C411" w:rsidR="00AE58CC" w:rsidRPr="00AE58CC" w:rsidRDefault="00AE58CC" w:rsidP="004F0AE8">
            <w:pPr>
              <w:pStyle w:val="ListParagraph"/>
              <w:widowControl w:val="0"/>
              <w:numPr>
                <w:ilvl w:val="0"/>
                <w:numId w:val="65"/>
              </w:numPr>
              <w:autoSpaceDN w:val="0"/>
              <w:spacing w:afterLines="50" w:after="120" w:line="240" w:lineRule="auto"/>
              <w:ind w:left="462" w:hangingChars="210" w:hanging="46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Note: inter-RAT is not in the scope.</w:t>
            </w:r>
          </w:p>
        </w:tc>
      </w:tr>
    </w:tbl>
    <w:p w14:paraId="28D54939" w14:textId="77777777" w:rsidR="00AE58CC" w:rsidRDefault="00AE58CC" w:rsidP="004F0AE8">
      <w:pPr>
        <w:jc w:val="both"/>
        <w:rPr>
          <w:lang w:val="en-US"/>
        </w:rPr>
      </w:pPr>
    </w:p>
    <w:p w14:paraId="1622D93F" w14:textId="38B4E361" w:rsidR="00070350" w:rsidRDefault="001B36B2" w:rsidP="004F0AE8">
      <w:pPr>
        <w:jc w:val="both"/>
        <w:rPr>
          <w:lang w:val="en-US"/>
        </w:rPr>
      </w:pPr>
      <w:r>
        <w:rPr>
          <w:lang w:val="en-US"/>
        </w:rPr>
        <w:t>For Issue 1-1-</w:t>
      </w:r>
      <w:r w:rsidR="00AE58CC">
        <w:rPr>
          <w:lang w:val="en-US"/>
        </w:rPr>
        <w:t>5</w:t>
      </w:r>
      <w:r>
        <w:rPr>
          <w:lang w:val="en-US"/>
        </w:rPr>
        <w:t>,</w:t>
      </w:r>
      <w:r w:rsidR="00070350">
        <w:rPr>
          <w:lang w:val="en-US"/>
        </w:rPr>
        <w:t xml:space="preserve"> RAN4 agreed that </w:t>
      </w:r>
      <w:r w:rsidR="00070350" w:rsidRPr="00070350">
        <w:rPr>
          <w:lang w:val="en-US"/>
        </w:rPr>
        <w:t>FBS enhancement applies for the case when the target and serving carrier frequency are same</w:t>
      </w:r>
      <w:r w:rsidR="00070350">
        <w:rPr>
          <w:lang w:val="en-US"/>
        </w:rPr>
        <w:t xml:space="preserve"> (</w:t>
      </w:r>
      <w:r w:rsidR="00C05048">
        <w:rPr>
          <w:lang w:val="en-US"/>
        </w:rPr>
        <w:t>e.g.,</w:t>
      </w:r>
      <w:r w:rsidR="00070350">
        <w:rPr>
          <w:lang w:val="en-US"/>
        </w:rPr>
        <w:t xml:space="preserve"> intra-freq</w:t>
      </w:r>
      <w:r w:rsidR="00C05048">
        <w:rPr>
          <w:lang w:val="en-US"/>
        </w:rPr>
        <w:t>uency</w:t>
      </w:r>
      <w:r w:rsidR="00070350">
        <w:rPr>
          <w:lang w:val="en-US"/>
        </w:rPr>
        <w:t xml:space="preserve"> </w:t>
      </w:r>
      <w:r w:rsidR="00C05048">
        <w:rPr>
          <w:lang w:val="en-US"/>
        </w:rPr>
        <w:t xml:space="preserve">measurement </w:t>
      </w:r>
      <w:r w:rsidR="00070350">
        <w:rPr>
          <w:lang w:val="en-US"/>
        </w:rPr>
        <w:t>w</w:t>
      </w:r>
      <w:r w:rsidR="00C05048">
        <w:rPr>
          <w:lang w:val="en-US"/>
        </w:rPr>
        <w:t>ith</w:t>
      </w:r>
      <w:r w:rsidR="00070350">
        <w:rPr>
          <w:lang w:val="en-US"/>
        </w:rPr>
        <w:t xml:space="preserve"> or </w:t>
      </w:r>
      <w:r w:rsidR="00C05048">
        <w:rPr>
          <w:lang w:val="en-US"/>
        </w:rPr>
        <w:t>without</w:t>
      </w:r>
      <w:r w:rsidR="00070350">
        <w:rPr>
          <w:lang w:val="en-US"/>
        </w:rPr>
        <w:t xml:space="preserve"> MG). If they are different</w:t>
      </w:r>
      <w:r w:rsidR="00C05048">
        <w:rPr>
          <w:lang w:val="en-US"/>
        </w:rPr>
        <w:t xml:space="preserve"> carriers, the enhancement does not apply to </w:t>
      </w:r>
      <w:r w:rsidR="00C05048" w:rsidRPr="00C05048">
        <w:rPr>
          <w:lang w:val="en-US"/>
        </w:rPr>
        <w:t xml:space="preserve">inter-frequency measurement without </w:t>
      </w:r>
      <w:r w:rsidR="00C05048">
        <w:rPr>
          <w:lang w:val="en-US"/>
        </w:rPr>
        <w:t xml:space="preserve">MG. The remaining case to be discussed is inter-frequency measurement with per-FR MG as captured in the FFS above. After checking this, we realized that activating FBS is limited to </w:t>
      </w:r>
      <w:r w:rsidR="00C05048" w:rsidRPr="00C05048">
        <w:rPr>
          <w:lang w:val="en-US"/>
        </w:rPr>
        <w:t xml:space="preserve">serving cell </w:t>
      </w:r>
      <w:r w:rsidR="00C05048">
        <w:rPr>
          <w:lang w:val="en-US"/>
        </w:rPr>
        <w:t>in</w:t>
      </w:r>
      <w:r w:rsidR="00C05048" w:rsidRPr="00C05048">
        <w:rPr>
          <w:lang w:val="en-US"/>
        </w:rPr>
        <w:t xml:space="preserve"> FR2 </w:t>
      </w:r>
      <w:r w:rsidR="00C05048">
        <w:rPr>
          <w:lang w:val="en-US"/>
        </w:rPr>
        <w:t>carrier anyway, as agreed in RAN4#114-bis and captured below. Therefore, even when UE is configured with FR2 inter-frequency measurement with per-FR gap, this enhancement can still be applied when both target and serving carrier are in FR2. Therefore, in our view we can close this issue without spec impact.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0350" w14:paraId="52ABEB9D" w14:textId="77777777" w:rsidTr="00070350">
        <w:tc>
          <w:tcPr>
            <w:tcW w:w="9629" w:type="dxa"/>
          </w:tcPr>
          <w:p w14:paraId="71A938E5" w14:textId="77777777" w:rsidR="00070350" w:rsidRDefault="00070350" w:rsidP="00070350">
            <w:pPr>
              <w:pStyle w:val="Heading3"/>
              <w:rPr>
                <w:rFonts w:eastAsiaTheme="minorEastAsia"/>
                <w:sz w:val="21"/>
                <w:u w:val="single"/>
                <w:lang w:val="en-US"/>
              </w:rPr>
            </w:pPr>
            <w:r>
              <w:rPr>
                <w:rFonts w:eastAsiaTheme="minorEastAsia"/>
                <w:sz w:val="21"/>
                <w:u w:val="single"/>
                <w:lang w:val="en-US"/>
              </w:rPr>
              <w:t>Issue 1-1-1: Conditions to trigger UE to activate L3 measurement delay reduction by optimizing Rx BSF</w:t>
            </w:r>
          </w:p>
          <w:p w14:paraId="03F890D2" w14:textId="77777777" w:rsidR="00070350" w:rsidRDefault="00070350" w:rsidP="00070350">
            <w:pPr>
              <w:snapToGrid w:val="0"/>
              <w:rPr>
                <w:rFonts w:eastAsia="Times New Roman"/>
                <w:sz w:val="20"/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Agreement in RRM session (Monday):</w:t>
            </w:r>
          </w:p>
          <w:p w14:paraId="71D883DB" w14:textId="77777777" w:rsidR="00070350" w:rsidRDefault="00070350" w:rsidP="00070350">
            <w:pPr>
              <w:pStyle w:val="ListParagraph"/>
              <w:numPr>
                <w:ilvl w:val="2"/>
                <w:numId w:val="6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ind w:left="425" w:hanging="357"/>
              <w:rPr>
                <w:rFonts w:eastAsia="SimSun"/>
                <w:szCs w:val="20"/>
              </w:rPr>
            </w:pPr>
            <w:r>
              <w:rPr>
                <w:rFonts w:eastAsia="SimSun"/>
              </w:rPr>
              <w:t xml:space="preserve">For the baseline scenario agreed in RAN4 #112, </w:t>
            </w:r>
            <w:r>
              <w:rPr>
                <w:bCs/>
                <w:iCs/>
              </w:rPr>
              <w:t xml:space="preserve">limit the serving cell to a FR2 serving cell. </w:t>
            </w:r>
          </w:p>
          <w:p w14:paraId="1A4751E9" w14:textId="77777777" w:rsidR="00070350" w:rsidRDefault="00070350" w:rsidP="00070350">
            <w:pPr>
              <w:pStyle w:val="ListParagraph"/>
              <w:numPr>
                <w:ilvl w:val="2"/>
                <w:numId w:val="6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ind w:left="425" w:hanging="357"/>
              <w:rPr>
                <w:rFonts w:eastAsia="SimSun"/>
              </w:rPr>
            </w:pPr>
            <w:r>
              <w:rPr>
                <w:rFonts w:eastAsia="SimSun"/>
              </w:rPr>
              <w:t xml:space="preserve">Leave the decision to RAN2. Further discuss the details for the LS to RAN2, and the LS can only be approved if the content is agreeable. </w:t>
            </w:r>
          </w:p>
          <w:p w14:paraId="26602D05" w14:textId="5CFBBF0D" w:rsidR="00070350" w:rsidRPr="00070350" w:rsidRDefault="00070350" w:rsidP="00070350">
            <w:pPr>
              <w:pStyle w:val="ListParagraph"/>
              <w:numPr>
                <w:ilvl w:val="3"/>
                <w:numId w:val="6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ind w:left="851"/>
              <w:rPr>
                <w:rFonts w:eastAsia="SimSun"/>
              </w:rPr>
            </w:pPr>
            <w:r>
              <w:rPr>
                <w:rFonts w:eastAsia="SimSun"/>
              </w:rPr>
              <w:t xml:space="preserve">Details of the LS can refer to R4-2504962. </w:t>
            </w:r>
          </w:p>
        </w:tc>
      </w:tr>
    </w:tbl>
    <w:p w14:paraId="673638D1" w14:textId="77777777" w:rsidR="00070350" w:rsidRDefault="00070350" w:rsidP="004F0AE8">
      <w:pPr>
        <w:jc w:val="both"/>
        <w:rPr>
          <w:lang w:val="en-US"/>
        </w:rPr>
      </w:pPr>
    </w:p>
    <w:p w14:paraId="4AD0CE6C" w14:textId="7C309A6F" w:rsidR="00F007AB" w:rsidRPr="001B36B2" w:rsidRDefault="00F007AB" w:rsidP="00F007AB">
      <w:pPr>
        <w:jc w:val="both"/>
        <w:rPr>
          <w:b/>
          <w:bCs/>
        </w:rPr>
      </w:pPr>
      <w:r w:rsidRPr="00C05048">
        <w:rPr>
          <w:b/>
          <w:bCs/>
        </w:rPr>
        <w:t xml:space="preserve">Proposal </w:t>
      </w:r>
      <w:r w:rsidR="00F64625" w:rsidRPr="00C05048">
        <w:rPr>
          <w:b/>
          <w:bCs/>
        </w:rPr>
        <w:t>2</w:t>
      </w:r>
      <w:r w:rsidRPr="00C05048">
        <w:rPr>
          <w:b/>
          <w:bCs/>
        </w:rPr>
        <w:t xml:space="preserve">: </w:t>
      </w:r>
      <w:r w:rsidR="00C05048" w:rsidRPr="00C05048">
        <w:rPr>
          <w:b/>
          <w:bCs/>
        </w:rPr>
        <w:t xml:space="preserve">FBS enhancement can apply to inter-frequency measurement with per-FR </w:t>
      </w:r>
      <w:r w:rsidR="00C05048">
        <w:rPr>
          <w:b/>
          <w:bCs/>
        </w:rPr>
        <w:t>MG and there is no spec impact.</w:t>
      </w:r>
    </w:p>
    <w:p w14:paraId="382E0197" w14:textId="77777777" w:rsidR="00F007AB" w:rsidRDefault="00F007AB" w:rsidP="004F0AE8">
      <w:pPr>
        <w:jc w:val="both"/>
        <w:rPr>
          <w:rFonts w:eastAsia="SimSun" w:cs="Arial"/>
          <w:bCs/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1DC883DE" w14:textId="77777777" w:rsidR="00C05048" w:rsidRDefault="00C05048" w:rsidP="00C05048">
      <w:pPr>
        <w:jc w:val="both"/>
        <w:rPr>
          <w:b/>
          <w:bCs/>
        </w:rPr>
      </w:pPr>
      <w:r>
        <w:rPr>
          <w:b/>
          <w:bCs/>
        </w:rPr>
        <w:t>Proposal 1: Discuss whether to exclude the 3-searcher enhancement for inter-frequency measurement without MG scenario.</w:t>
      </w:r>
    </w:p>
    <w:p w14:paraId="03851EA7" w14:textId="77777777" w:rsidR="00C05048" w:rsidRDefault="00C05048" w:rsidP="00C05048">
      <w:pPr>
        <w:jc w:val="both"/>
        <w:rPr>
          <w:b/>
          <w:bCs/>
        </w:rPr>
      </w:pPr>
    </w:p>
    <w:p w14:paraId="087E7A89" w14:textId="2A39B944" w:rsidR="00C05048" w:rsidRDefault="00C05048" w:rsidP="00C05048">
      <w:pPr>
        <w:jc w:val="both"/>
        <w:rPr>
          <w:b/>
          <w:bCs/>
        </w:rPr>
      </w:pPr>
      <w:r>
        <w:rPr>
          <w:b/>
          <w:bCs/>
        </w:rPr>
        <w:lastRenderedPageBreak/>
        <w:t>Proposal 2: FBS enhancement can apply to inter-frequency measurement with per-FR MG and there is no spec impact.</w:t>
      </w:r>
    </w:p>
    <w:p w14:paraId="44B79076" w14:textId="77777777" w:rsidR="00A54369" w:rsidRPr="00F64625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48BD853C" w14:textId="55DF2883" w:rsidR="006A7A50" w:rsidRDefault="00206A5F" w:rsidP="00D50514">
      <w:pPr>
        <w:pStyle w:val="ListParagraph"/>
        <w:numPr>
          <w:ilvl w:val="0"/>
          <w:numId w:val="2"/>
        </w:numPr>
        <w:spacing w:line="256" w:lineRule="auto"/>
      </w:pPr>
      <w:bookmarkStart w:id="1" w:name="_Ref182018765"/>
      <w:r>
        <w:t>R4-</w:t>
      </w:r>
      <w:r w:rsidR="00D55F7B" w:rsidRPr="00D55F7B">
        <w:t>2512124</w:t>
      </w:r>
      <w:r>
        <w:t xml:space="preserve">, </w:t>
      </w:r>
      <w:r w:rsidR="00D55F7B" w:rsidRPr="00D55F7B">
        <w:t>WF on RRM requirements for NR_RRM_Ph5_Part1</w:t>
      </w:r>
      <w:r>
        <w:t>, Apple</w:t>
      </w:r>
      <w:r w:rsidR="0048100C">
        <w:t>.</w:t>
      </w:r>
      <w:bookmarkEnd w:id="1"/>
    </w:p>
    <w:p w14:paraId="632EF90F" w14:textId="2698CE1C" w:rsidR="00D55F7B" w:rsidRPr="001A5974" w:rsidRDefault="00D55F7B" w:rsidP="00A956CD">
      <w:pPr>
        <w:pStyle w:val="ListParagraph"/>
        <w:numPr>
          <w:ilvl w:val="0"/>
          <w:numId w:val="2"/>
        </w:numPr>
        <w:spacing w:line="256" w:lineRule="auto"/>
      </w:pPr>
      <w:bookmarkStart w:id="2" w:name="_Ref210140888"/>
      <w:r>
        <w:t xml:space="preserve">R4-2512125, </w:t>
      </w:r>
      <w:r w:rsidRPr="00D55F7B">
        <w:t>WF on RRM requirements for NR_RRM_Ph5_Part2</w:t>
      </w:r>
      <w:r>
        <w:t>, CATT.</w:t>
      </w:r>
      <w:bookmarkEnd w:id="2"/>
    </w:p>
    <w:sectPr w:rsidR="00D55F7B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4A9C" w14:textId="77777777" w:rsidR="00B17085" w:rsidRDefault="00B17085">
      <w:r>
        <w:separator/>
      </w:r>
    </w:p>
  </w:endnote>
  <w:endnote w:type="continuationSeparator" w:id="0">
    <w:p w14:paraId="03886977" w14:textId="77777777" w:rsidR="00B17085" w:rsidRDefault="00B1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5566" w14:textId="77777777" w:rsidR="00B17085" w:rsidRDefault="00B17085">
      <w:r>
        <w:separator/>
      </w:r>
    </w:p>
  </w:footnote>
  <w:footnote w:type="continuationSeparator" w:id="0">
    <w:p w14:paraId="3AE58495" w14:textId="77777777" w:rsidR="00B17085" w:rsidRDefault="00B1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A4373"/>
    <w:multiLevelType w:val="hybridMultilevel"/>
    <w:tmpl w:val="A6B85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5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DF10630"/>
    <w:multiLevelType w:val="hybridMultilevel"/>
    <w:tmpl w:val="0ED69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8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41"/>
  </w:num>
  <w:num w:numId="2" w16cid:durableId="173874908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0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3"/>
  </w:num>
  <w:num w:numId="6" w16cid:durableId="123088283">
    <w:abstractNumId w:val="26"/>
  </w:num>
  <w:num w:numId="7" w16cid:durableId="933320673">
    <w:abstractNumId w:val="11"/>
  </w:num>
  <w:num w:numId="8" w16cid:durableId="1639996714">
    <w:abstractNumId w:val="28"/>
  </w:num>
  <w:num w:numId="9" w16cid:durableId="913469679">
    <w:abstractNumId w:val="26"/>
  </w:num>
  <w:num w:numId="10" w16cid:durableId="1545212710">
    <w:abstractNumId w:val="28"/>
  </w:num>
  <w:num w:numId="11" w16cid:durableId="1093014052">
    <w:abstractNumId w:val="0"/>
  </w:num>
  <w:num w:numId="12" w16cid:durableId="1287157629">
    <w:abstractNumId w:val="10"/>
  </w:num>
  <w:num w:numId="13" w16cid:durableId="2027827007">
    <w:abstractNumId w:val="27"/>
  </w:num>
  <w:num w:numId="14" w16cid:durableId="797920952">
    <w:abstractNumId w:val="16"/>
  </w:num>
  <w:num w:numId="15" w16cid:durableId="1583298407">
    <w:abstractNumId w:val="16"/>
  </w:num>
  <w:num w:numId="16" w16cid:durableId="729232797">
    <w:abstractNumId w:val="40"/>
  </w:num>
  <w:num w:numId="17" w16cid:durableId="1809740761">
    <w:abstractNumId w:val="12"/>
  </w:num>
  <w:num w:numId="18" w16cid:durableId="284191857">
    <w:abstractNumId w:val="2"/>
  </w:num>
  <w:num w:numId="19" w16cid:durableId="401487208">
    <w:abstractNumId w:val="9"/>
  </w:num>
  <w:num w:numId="20" w16cid:durableId="1532840962">
    <w:abstractNumId w:val="37"/>
  </w:num>
  <w:num w:numId="21" w16cid:durableId="2037349397">
    <w:abstractNumId w:val="7"/>
  </w:num>
  <w:num w:numId="22" w16cid:durableId="1783374912">
    <w:abstractNumId w:val="24"/>
  </w:num>
  <w:num w:numId="23" w16cid:durableId="32459540">
    <w:abstractNumId w:val="16"/>
  </w:num>
  <w:num w:numId="24" w16cid:durableId="1333534701">
    <w:abstractNumId w:val="42"/>
  </w:num>
  <w:num w:numId="25" w16cid:durableId="582495249">
    <w:abstractNumId w:val="3"/>
  </w:num>
  <w:num w:numId="26" w16cid:durableId="1094205401">
    <w:abstractNumId w:val="8"/>
  </w:num>
  <w:num w:numId="27" w16cid:durableId="62411861">
    <w:abstractNumId w:val="1"/>
  </w:num>
  <w:num w:numId="28" w16cid:durableId="1123039776">
    <w:abstractNumId w:val="14"/>
  </w:num>
  <w:num w:numId="29" w16cid:durableId="1680232521">
    <w:abstractNumId w:val="14"/>
  </w:num>
  <w:num w:numId="30" w16cid:durableId="1903828835">
    <w:abstractNumId w:val="2"/>
  </w:num>
  <w:num w:numId="31" w16cid:durableId="1907759603">
    <w:abstractNumId w:val="22"/>
  </w:num>
  <w:num w:numId="32" w16cid:durableId="953901140">
    <w:abstractNumId w:val="22"/>
  </w:num>
  <w:num w:numId="33" w16cid:durableId="84957327">
    <w:abstractNumId w:val="22"/>
  </w:num>
  <w:num w:numId="34" w16cid:durableId="874000490">
    <w:abstractNumId w:val="6"/>
  </w:num>
  <w:num w:numId="35" w16cid:durableId="5234478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3"/>
  </w:num>
  <w:num w:numId="37" w16cid:durableId="1776050421">
    <w:abstractNumId w:val="13"/>
  </w:num>
  <w:num w:numId="38" w16cid:durableId="401605719">
    <w:abstractNumId w:val="1"/>
  </w:num>
  <w:num w:numId="39" w16cid:durableId="1826512047">
    <w:abstractNumId w:val="36"/>
  </w:num>
  <w:num w:numId="40" w16cid:durableId="163130355">
    <w:abstractNumId w:val="36"/>
  </w:num>
  <w:num w:numId="41" w16cid:durableId="1750887054">
    <w:abstractNumId w:val="42"/>
  </w:num>
  <w:num w:numId="42" w16cid:durableId="1525482819">
    <w:abstractNumId w:val="3"/>
  </w:num>
  <w:num w:numId="43" w16cid:durableId="756436547">
    <w:abstractNumId w:val="30"/>
  </w:num>
  <w:num w:numId="44" w16cid:durableId="1975060488">
    <w:abstractNumId w:val="13"/>
  </w:num>
  <w:num w:numId="45" w16cid:durableId="39209876">
    <w:abstractNumId w:val="33"/>
  </w:num>
  <w:num w:numId="46" w16cid:durableId="308479266">
    <w:abstractNumId w:val="30"/>
  </w:num>
  <w:num w:numId="47" w16cid:durableId="2046909957">
    <w:abstractNumId w:val="35"/>
  </w:num>
  <w:num w:numId="48" w16cid:durableId="895051872">
    <w:abstractNumId w:val="38"/>
  </w:num>
  <w:num w:numId="49" w16cid:durableId="1081487369">
    <w:abstractNumId w:val="5"/>
  </w:num>
  <w:num w:numId="50" w16cid:durableId="721296149">
    <w:abstractNumId w:val="17"/>
  </w:num>
  <w:num w:numId="51" w16cid:durableId="753206661">
    <w:abstractNumId w:val="17"/>
  </w:num>
  <w:num w:numId="52" w16cid:durableId="774131340">
    <w:abstractNumId w:val="30"/>
  </w:num>
  <w:num w:numId="53" w16cid:durableId="1742487071">
    <w:abstractNumId w:val="17"/>
  </w:num>
  <w:num w:numId="54" w16cid:durableId="790709136">
    <w:abstractNumId w:val="21"/>
  </w:num>
  <w:num w:numId="55" w16cid:durableId="345252163">
    <w:abstractNumId w:val="19"/>
  </w:num>
  <w:num w:numId="56" w16cid:durableId="289365988">
    <w:abstractNumId w:val="19"/>
  </w:num>
  <w:num w:numId="57" w16cid:durableId="229311859">
    <w:abstractNumId w:val="30"/>
  </w:num>
  <w:num w:numId="58" w16cid:durableId="789322597">
    <w:abstractNumId w:val="18"/>
  </w:num>
  <w:num w:numId="59" w16cid:durableId="909845506">
    <w:abstractNumId w:val="29"/>
  </w:num>
  <w:num w:numId="60" w16cid:durableId="117575686">
    <w:abstractNumId w:val="32"/>
  </w:num>
  <w:num w:numId="61" w16cid:durableId="1071388446">
    <w:abstractNumId w:val="25"/>
  </w:num>
  <w:num w:numId="62" w16cid:durableId="1357850946">
    <w:abstractNumId w:val="30"/>
  </w:num>
  <w:num w:numId="63" w16cid:durableId="496922783">
    <w:abstractNumId w:val="30"/>
  </w:num>
  <w:num w:numId="64" w16cid:durableId="1402219216">
    <w:abstractNumId w:val="15"/>
  </w:num>
  <w:num w:numId="65" w16cid:durableId="766997237">
    <w:abstractNumId w:val="31"/>
  </w:num>
  <w:num w:numId="66" w16cid:durableId="1282492035">
    <w:abstractNumId w:val="30"/>
  </w:num>
  <w:num w:numId="67" w16cid:durableId="1884710390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655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350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6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E9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5AB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395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AF5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84D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75A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53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A2E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591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167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1E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58CC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085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048"/>
    <w:rsid w:val="00C053DA"/>
    <w:rsid w:val="00C064E9"/>
    <w:rsid w:val="00C06924"/>
    <w:rsid w:val="00C06A6F"/>
    <w:rsid w:val="00C06D92"/>
    <w:rsid w:val="00C06DBD"/>
    <w:rsid w:val="00C0708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CD9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5F7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6E46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625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75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17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75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2025-10-03T16:58:00Z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